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A872C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B56CFE" w:rsidRPr="00A872C4" w:rsidRDefault="00A872C4" w:rsidP="00B56CFE">
      <w:pPr>
        <w:pStyle w:val="PargrafodaLista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72C4">
        <w:rPr>
          <w:b/>
          <w:sz w:val="28"/>
          <w:szCs w:val="28"/>
        </w:rPr>
        <w:t xml:space="preserve">Cumpra imediatamente o que preconiza a Lei Municipal nº 950 de 20 de março de 2013, chamada Lei da ficha Limpa. 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61EDA">
        <w:rPr>
          <w:sz w:val="28"/>
          <w:szCs w:val="28"/>
        </w:rPr>
        <w:t>19 de fevereiro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0346C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2018-02-19T13:56:00Z</cp:lastPrinted>
  <dcterms:created xsi:type="dcterms:W3CDTF">2018-02-19T14:00:00Z</dcterms:created>
  <dcterms:modified xsi:type="dcterms:W3CDTF">2018-02-19T14:00:00Z</dcterms:modified>
</cp:coreProperties>
</file>