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20" w:rsidRPr="00DB4134" w:rsidRDefault="00B33D20" w:rsidP="00B33D20">
      <w:pPr>
        <w:pStyle w:val="Corpodetexto"/>
        <w:spacing w:after="0" w:line="360" w:lineRule="auto"/>
        <w:ind w:right="-851"/>
        <w:rPr>
          <w:rFonts w:ascii="Arial" w:hAnsi="Arial" w:cs="Arial"/>
          <w:b/>
          <w:sz w:val="22"/>
          <w:szCs w:val="22"/>
        </w:rPr>
      </w:pPr>
    </w:p>
    <w:p w:rsidR="00B33D20" w:rsidRPr="0008708E" w:rsidRDefault="00B33D20" w:rsidP="00B33D20">
      <w:pPr>
        <w:spacing w:line="360" w:lineRule="auto"/>
        <w:ind w:right="-852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5C20">
        <w:rPr>
          <w:rFonts w:ascii="Arial" w:hAnsi="Arial" w:cs="Arial"/>
          <w:b/>
          <w:sz w:val="22"/>
          <w:szCs w:val="22"/>
        </w:rPr>
        <w:t>PROJETO DE LEI COMPLEMENTAR</w:t>
      </w:r>
      <w:r w:rsidRPr="00B81760">
        <w:rPr>
          <w:rFonts w:ascii="Arial" w:hAnsi="Arial" w:cs="Arial"/>
          <w:b/>
          <w:sz w:val="22"/>
          <w:szCs w:val="22"/>
        </w:rPr>
        <w:t xml:space="preserve">Nº 26 DE </w:t>
      </w:r>
      <w:r w:rsidRPr="00E95C20">
        <w:rPr>
          <w:rFonts w:ascii="Arial" w:hAnsi="Arial" w:cs="Arial"/>
          <w:b/>
          <w:sz w:val="22"/>
          <w:szCs w:val="22"/>
        </w:rPr>
        <w:t>08 DE DEZEMBRO DE 2017.</w:t>
      </w:r>
    </w:p>
    <w:p w:rsidR="00B33D20" w:rsidRPr="00DB4134" w:rsidRDefault="00B33D20" w:rsidP="00B33D20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B33D20" w:rsidRPr="00DB4134" w:rsidRDefault="00B33D20" w:rsidP="00B33D20">
      <w:pPr>
        <w:tabs>
          <w:tab w:val="left" w:pos="3828"/>
        </w:tabs>
        <w:spacing w:line="360" w:lineRule="auto"/>
        <w:ind w:left="3686" w:right="-852"/>
        <w:jc w:val="both"/>
        <w:rPr>
          <w:rFonts w:ascii="Arial" w:hAnsi="Arial" w:cs="Arial"/>
          <w:b/>
          <w:i/>
          <w:sz w:val="22"/>
          <w:szCs w:val="22"/>
        </w:rPr>
      </w:pPr>
      <w:r w:rsidRPr="00DB4134">
        <w:rPr>
          <w:rFonts w:ascii="Arial" w:hAnsi="Arial" w:cs="Arial"/>
          <w:b/>
          <w:i/>
          <w:sz w:val="22"/>
          <w:szCs w:val="22"/>
        </w:rPr>
        <w:t xml:space="preserve">“Altera os dispositivos da Lei </w:t>
      </w:r>
      <w:r w:rsidRPr="00E95C20">
        <w:rPr>
          <w:rFonts w:ascii="Arial" w:hAnsi="Arial" w:cs="Arial"/>
          <w:b/>
          <w:i/>
          <w:sz w:val="22"/>
          <w:szCs w:val="22"/>
        </w:rPr>
        <w:t>Municipal nº 360 de 06 de maio de 1983 que</w:t>
      </w:r>
      <w:r w:rsidRPr="00DB4134">
        <w:rPr>
          <w:rFonts w:ascii="Arial" w:hAnsi="Arial" w:cs="Arial"/>
          <w:b/>
          <w:i/>
          <w:sz w:val="22"/>
          <w:szCs w:val="22"/>
        </w:rPr>
        <w:t xml:space="preserve"> “Dispõe sobre o Código Tributário Municipal” e dá outras providências”. </w:t>
      </w:r>
    </w:p>
    <w:p w:rsidR="00B33D20" w:rsidRPr="00DB4134" w:rsidRDefault="00B33D20" w:rsidP="00B33D20">
      <w:pPr>
        <w:spacing w:line="360" w:lineRule="auto"/>
        <w:ind w:right="-852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  <w:r w:rsidRPr="00DB4134">
        <w:rPr>
          <w:rFonts w:ascii="Arial" w:hAnsi="Arial" w:cs="Arial"/>
          <w:sz w:val="22"/>
          <w:szCs w:val="22"/>
        </w:rPr>
        <w:t xml:space="preserve">A Câmara Municipal de </w:t>
      </w:r>
      <w:r>
        <w:rPr>
          <w:rFonts w:ascii="Arial" w:hAnsi="Arial" w:cs="Arial"/>
          <w:sz w:val="22"/>
          <w:szCs w:val="22"/>
        </w:rPr>
        <w:t>Santana do Deserto</w:t>
      </w:r>
      <w:r w:rsidRPr="00DB4134">
        <w:rPr>
          <w:rFonts w:ascii="Arial" w:hAnsi="Arial" w:cs="Arial"/>
          <w:sz w:val="22"/>
          <w:szCs w:val="22"/>
        </w:rPr>
        <w:t>, Estado de Minas Gerais, aprova e o Prefeito Municipal sanciona a seguinte Lei:</w:t>
      </w:r>
    </w:p>
    <w:p w:rsidR="00B33D20" w:rsidRPr="00DB4134" w:rsidRDefault="00B33D20" w:rsidP="00B33D20">
      <w:pPr>
        <w:spacing w:line="360" w:lineRule="auto"/>
        <w:ind w:right="-852"/>
        <w:jc w:val="both"/>
        <w:rPr>
          <w:rFonts w:ascii="Arial" w:hAnsi="Arial" w:cs="Arial"/>
          <w:sz w:val="22"/>
          <w:szCs w:val="22"/>
        </w:rPr>
      </w:pPr>
    </w:p>
    <w:p w:rsidR="00B33D20" w:rsidRPr="00E95C20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187B89">
        <w:rPr>
          <w:rFonts w:ascii="Arial" w:hAnsi="Arial" w:cs="Arial"/>
          <w:b/>
          <w:sz w:val="22"/>
          <w:szCs w:val="22"/>
        </w:rPr>
        <w:t xml:space="preserve">Art. 1º - </w:t>
      </w:r>
      <w:r w:rsidRPr="00187B89">
        <w:rPr>
          <w:rFonts w:ascii="Arial" w:hAnsi="Arial" w:cs="Arial"/>
          <w:sz w:val="22"/>
          <w:szCs w:val="22"/>
        </w:rPr>
        <w:t xml:space="preserve">Os itens </w:t>
      </w:r>
      <w:r>
        <w:rPr>
          <w:rFonts w:ascii="Arial" w:hAnsi="Arial" w:cs="Arial"/>
          <w:sz w:val="22"/>
          <w:szCs w:val="22"/>
        </w:rPr>
        <w:t>09</w:t>
      </w:r>
      <w:r w:rsidRPr="00187B89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18</w:t>
      </w:r>
      <w:r w:rsidRPr="00187B89">
        <w:rPr>
          <w:rFonts w:ascii="Arial" w:hAnsi="Arial" w:cs="Arial"/>
          <w:sz w:val="22"/>
          <w:szCs w:val="22"/>
        </w:rPr>
        <w:t xml:space="preserve"> da Lista de Serviços instituída </w:t>
      </w:r>
      <w:r w:rsidRPr="00E95C20">
        <w:rPr>
          <w:rFonts w:ascii="Arial" w:hAnsi="Arial" w:cs="Arial"/>
          <w:sz w:val="22"/>
          <w:szCs w:val="22"/>
        </w:rPr>
        <w:t>pelo art. 28 da Lei Municipal nº 360 de 06 de maio de 1983, passam a viger com as seguintes redações:</w:t>
      </w: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09</w:t>
      </w:r>
      <w:r w:rsidRPr="00187B89">
        <w:rPr>
          <w:rFonts w:ascii="Arial" w:hAnsi="Arial" w:cs="Arial"/>
          <w:i/>
          <w:sz w:val="22"/>
          <w:szCs w:val="22"/>
        </w:rPr>
        <w:t xml:space="preserve"> – Composição gráfica, inclusive confecção de impressos gráficos, fotocomposição, clicheria, zincografia, litografia e fotolitografia, exceto se destinados a posterior operação de comercialização ou industrialização, ainda que incorporados, de qualquer forma, a outra mercadoria que deva ser objeto de posterior circulação, tais como bulas, rótulos, etiquetas, caixas, cartuchos, embalagens e manuais técnicos e de instrução, quando ficarão sujeitos ao ICMS.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18</w:t>
      </w:r>
      <w:r w:rsidRPr="00187B89">
        <w:rPr>
          <w:rFonts w:ascii="Arial" w:hAnsi="Arial" w:cs="Arial"/>
          <w:i/>
          <w:sz w:val="22"/>
          <w:szCs w:val="22"/>
        </w:rPr>
        <w:t>– Restauração, recondicionamento, acondicionamento, pintura, beneficiamento, lavagem, secagem, tingimento, galvanoplastia, anodização, corte, recorte, plastificação, costura, acabamento, polimento e congêneres de objetos quaisquer.</w:t>
      </w: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Pr="00187B89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187B89">
        <w:rPr>
          <w:rFonts w:ascii="Arial" w:hAnsi="Arial" w:cs="Arial"/>
          <w:b/>
          <w:sz w:val="22"/>
          <w:szCs w:val="22"/>
        </w:rPr>
        <w:t xml:space="preserve">Art. 2º - </w:t>
      </w:r>
      <w:r w:rsidRPr="00187B89">
        <w:rPr>
          <w:rFonts w:ascii="Arial" w:hAnsi="Arial" w:cs="Arial"/>
          <w:sz w:val="22"/>
          <w:szCs w:val="22"/>
        </w:rPr>
        <w:t xml:space="preserve">A Lista de Serviços instituída pelo </w:t>
      </w:r>
      <w:r w:rsidRPr="00E70D57">
        <w:rPr>
          <w:rFonts w:ascii="Arial" w:hAnsi="Arial" w:cs="Arial"/>
          <w:sz w:val="22"/>
          <w:szCs w:val="22"/>
        </w:rPr>
        <w:t>art. 28 da Lei Municipal nº 360 de 06 de maio de 1983,</w:t>
      </w:r>
      <w:r w:rsidRPr="00187B89">
        <w:rPr>
          <w:rFonts w:ascii="Arial" w:hAnsi="Arial" w:cs="Arial"/>
          <w:sz w:val="22"/>
          <w:szCs w:val="22"/>
        </w:rPr>
        <w:t xml:space="preserve">fica acrescida dos itens </w:t>
      </w:r>
      <w:r>
        <w:rPr>
          <w:rFonts w:ascii="Arial" w:hAnsi="Arial" w:cs="Arial"/>
          <w:sz w:val="22"/>
          <w:szCs w:val="22"/>
        </w:rPr>
        <w:t>32, 33, 34, 35, 36, 37, 38, 39, 40, 41, 42, 43, 44, 45, 46, 47, 48 e 49</w:t>
      </w:r>
      <w:r w:rsidRPr="00187B89">
        <w:rPr>
          <w:rFonts w:ascii="Arial" w:hAnsi="Arial" w:cs="Arial"/>
          <w:sz w:val="22"/>
          <w:szCs w:val="22"/>
        </w:rPr>
        <w:t>, passando a viger com as seguintes redações:</w:t>
      </w:r>
    </w:p>
    <w:p w:rsidR="00B33D20" w:rsidRPr="00187B89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32</w:t>
      </w:r>
      <w:r w:rsidRPr="00E70D57">
        <w:rPr>
          <w:rFonts w:ascii="Arial" w:hAnsi="Arial" w:cs="Arial"/>
          <w:i/>
          <w:sz w:val="22"/>
          <w:szCs w:val="22"/>
        </w:rPr>
        <w:t xml:space="preserve"> – Disponibilização, sem cessão definitiva, de conteúdos de áudio, vídeo, imagem e texto por meio da internet, respeitada a imunidade de livros, jornais e periódicos (exceto a distribuição de conteúdos pelas prestadoras de Serviços de Acesso Condicionado, de que trata a Lei nº 12.485, de 12 de setembro de 2011, sujeita ao ICMS) – ALIQUOTA a ser aplicada: 02 % 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33</w:t>
      </w:r>
      <w:r w:rsidRPr="00E70D57">
        <w:rPr>
          <w:rFonts w:ascii="Arial" w:hAnsi="Arial" w:cs="Arial"/>
          <w:i/>
          <w:sz w:val="22"/>
          <w:szCs w:val="22"/>
        </w:rPr>
        <w:t xml:space="preserve"> – Aplicação de tatuagens, piercings e congêneres.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</w:t>
      </w:r>
      <w:r w:rsidRPr="00E70D57">
        <w:rPr>
          <w:rFonts w:ascii="Arial" w:hAnsi="Arial" w:cs="Arial"/>
          <w:b/>
          <w:i/>
          <w:sz w:val="22"/>
          <w:szCs w:val="22"/>
        </w:rPr>
        <w:t>4</w:t>
      </w:r>
      <w:r w:rsidRPr="00E70D57">
        <w:rPr>
          <w:rFonts w:ascii="Arial" w:hAnsi="Arial" w:cs="Arial"/>
          <w:i/>
          <w:sz w:val="22"/>
          <w:szCs w:val="22"/>
        </w:rPr>
        <w:t xml:space="preserve"> – Guincho intramunicipal, guindaste e içamento.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35</w:t>
      </w:r>
      <w:r w:rsidRPr="00E70D57">
        <w:rPr>
          <w:rFonts w:ascii="Arial" w:hAnsi="Arial" w:cs="Arial"/>
          <w:i/>
          <w:sz w:val="22"/>
          <w:szCs w:val="22"/>
        </w:rPr>
        <w:t>– Outros serviços de transporte de natureza municipal.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36</w:t>
      </w:r>
      <w:r w:rsidRPr="00E70D57">
        <w:rPr>
          <w:rFonts w:ascii="Arial" w:hAnsi="Arial" w:cs="Arial"/>
          <w:i/>
          <w:sz w:val="22"/>
          <w:szCs w:val="22"/>
        </w:rPr>
        <w:t xml:space="preserve"> – Inserção de textos, desenhos e outros materiais de propaganda e publicidade, em qualquer meio (exceto em livros, jornais, periódicos e nas modalidades de serviços de radiodifusão sonora e de sons e imagens de recepção livre e gratuita.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37</w:t>
      </w:r>
      <w:r w:rsidRPr="00E70D57">
        <w:rPr>
          <w:rFonts w:ascii="Arial" w:hAnsi="Arial" w:cs="Arial"/>
          <w:i/>
          <w:sz w:val="22"/>
          <w:szCs w:val="22"/>
        </w:rPr>
        <w:t xml:space="preserve"> – Cessão de uso de espaços em cemitérios para sepultamento.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E70D57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38</w:t>
      </w:r>
      <w:r w:rsidRPr="00187B89">
        <w:rPr>
          <w:rFonts w:ascii="Arial" w:hAnsi="Arial" w:cs="Arial"/>
          <w:i/>
          <w:sz w:val="22"/>
          <w:szCs w:val="22"/>
        </w:rPr>
        <w:t xml:space="preserve"> – Processamento, armazenamento ou hospedagem de dados, textos, imagens, vídeos, páginas eletrônicas, aplicativos e sistemas de informação, entre outros formatos, e congêneres.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39</w:t>
      </w:r>
      <w:r w:rsidRPr="00187B89">
        <w:rPr>
          <w:rFonts w:ascii="Arial" w:hAnsi="Arial" w:cs="Arial"/>
          <w:i/>
          <w:sz w:val="22"/>
          <w:szCs w:val="22"/>
        </w:rPr>
        <w:t xml:space="preserve"> – Elaboração de programas de computadores, inclusive de jogos eletrônicos, independentemente da arquitetura construtiva da máquina em que o programa será executado, incluindo tablets, smartphones e congêneres. 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40</w:t>
      </w:r>
      <w:r w:rsidRPr="00187B89">
        <w:rPr>
          <w:rFonts w:ascii="Arial" w:hAnsi="Arial" w:cs="Arial"/>
          <w:i/>
          <w:sz w:val="22"/>
          <w:szCs w:val="22"/>
        </w:rPr>
        <w:t xml:space="preserve"> – Florestamento, reflorestamento, semeadura, adubação, reparação de solo, plantio, silagem, colheita, corte e descascamento de árvores, silvicultura, exploração florestal e dos serviços congêneres indissociáveis da formação, manutenção e colheita de florestas, para quaisquer fins e por quaisquer meios.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41</w:t>
      </w:r>
      <w:r w:rsidRPr="00187B89">
        <w:rPr>
          <w:rFonts w:ascii="Arial" w:hAnsi="Arial" w:cs="Arial"/>
          <w:i/>
          <w:sz w:val="22"/>
          <w:szCs w:val="22"/>
        </w:rPr>
        <w:t xml:space="preserve"> – Vigilância, segurança ou monitoramento de bens, pessoas e semoventes.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42</w:t>
      </w:r>
      <w:r w:rsidRPr="00187B89">
        <w:rPr>
          <w:rFonts w:ascii="Arial" w:hAnsi="Arial" w:cs="Arial"/>
          <w:i/>
          <w:sz w:val="22"/>
          <w:szCs w:val="22"/>
        </w:rPr>
        <w:t xml:space="preserve"> – Serviços de transporte coletivo municipal rodoviário, metroviário, ferroviário e aquaviário de passageiros.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b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43</w:t>
      </w:r>
      <w:r w:rsidRPr="00187B89">
        <w:rPr>
          <w:rFonts w:ascii="Arial" w:hAnsi="Arial" w:cs="Arial"/>
          <w:i/>
          <w:sz w:val="22"/>
          <w:szCs w:val="22"/>
        </w:rPr>
        <w:t xml:space="preserve"> – Translado intramunicipal e cremação de corpos e partes de corpos cadavéricos.</w:t>
      </w:r>
      <w:r>
        <w:rPr>
          <w:rFonts w:ascii="Arial" w:hAnsi="Arial" w:cs="Arial"/>
          <w:i/>
          <w:sz w:val="22"/>
          <w:szCs w:val="22"/>
        </w:rPr>
        <w:t xml:space="preserve"> - </w:t>
      </w: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87B89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153ADE">
        <w:rPr>
          <w:rFonts w:ascii="Arial" w:hAnsi="Arial" w:cs="Arial"/>
          <w:b/>
          <w:color w:val="000000"/>
          <w:sz w:val="22"/>
          <w:szCs w:val="22"/>
        </w:rPr>
        <w:t>44 –</w:t>
      </w:r>
      <w:r w:rsidRPr="00153ADE">
        <w:rPr>
          <w:rFonts w:ascii="Arial" w:hAnsi="Arial" w:cs="Arial"/>
          <w:color w:val="000000"/>
          <w:sz w:val="22"/>
          <w:szCs w:val="22"/>
        </w:rPr>
        <w:t xml:space="preserve"> Planos de medicina de grupo ou individual e convênios para prestação de assistência médica, hospitalar, odontológica e congêneres.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53ADE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153ADE">
        <w:rPr>
          <w:rFonts w:ascii="Arial" w:hAnsi="Arial" w:cs="Arial"/>
          <w:b/>
          <w:color w:val="000000"/>
          <w:sz w:val="22"/>
          <w:szCs w:val="22"/>
        </w:rPr>
        <w:t>45 –</w:t>
      </w:r>
      <w:r w:rsidRPr="00153ADE">
        <w:rPr>
          <w:rFonts w:ascii="Arial" w:hAnsi="Arial" w:cs="Arial"/>
          <w:color w:val="000000"/>
          <w:sz w:val="22"/>
          <w:szCs w:val="22"/>
        </w:rPr>
        <w:t xml:space="preserve"> Outros planos de saúde que se cumpram através de serviços de terceiros contratados, credenciados, cooperados ou apenas pagos pelo operador do plano mediante indicação do beneficiário.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53ADE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153ADE">
        <w:rPr>
          <w:rFonts w:ascii="Arial" w:hAnsi="Arial" w:cs="Arial"/>
          <w:b/>
          <w:color w:val="000000"/>
          <w:sz w:val="22"/>
          <w:szCs w:val="22"/>
        </w:rPr>
        <w:t>46 –</w:t>
      </w:r>
      <w:r w:rsidRPr="00153ADE">
        <w:rPr>
          <w:rFonts w:ascii="Arial" w:hAnsi="Arial" w:cs="Arial"/>
          <w:color w:val="000000"/>
          <w:sz w:val="22"/>
          <w:szCs w:val="22"/>
        </w:rPr>
        <w:t xml:space="preserve"> Planos de atendimento e assistência médico-veterinária.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53ADE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153ADE">
        <w:rPr>
          <w:rFonts w:ascii="Arial" w:hAnsi="Arial" w:cs="Arial"/>
          <w:b/>
          <w:color w:val="000000"/>
          <w:sz w:val="22"/>
          <w:szCs w:val="22"/>
        </w:rPr>
        <w:t>47 –</w:t>
      </w:r>
      <w:r w:rsidRPr="00153ADE">
        <w:rPr>
          <w:rFonts w:ascii="Arial" w:hAnsi="Arial" w:cs="Arial"/>
          <w:color w:val="000000"/>
          <w:sz w:val="22"/>
          <w:szCs w:val="22"/>
        </w:rPr>
        <w:t xml:space="preserve"> Agenciamento, corretagem ou intermediação de contratos de arrendamento mercantil (</w:t>
      </w:r>
      <w:r w:rsidRPr="00153ADE">
        <w:rPr>
          <w:rFonts w:ascii="Arial" w:hAnsi="Arial" w:cs="Arial"/>
          <w:b/>
          <w:bCs/>
          <w:color w:val="000000"/>
          <w:sz w:val="22"/>
          <w:szCs w:val="22"/>
        </w:rPr>
        <w:t>leasing</w:t>
      </w:r>
      <w:r w:rsidRPr="00153ADE">
        <w:rPr>
          <w:rFonts w:ascii="Arial" w:hAnsi="Arial" w:cs="Arial"/>
          <w:color w:val="000000"/>
          <w:sz w:val="22"/>
          <w:szCs w:val="22"/>
        </w:rPr>
        <w:t>), de franquia (</w:t>
      </w:r>
      <w:r w:rsidRPr="00153ADE">
        <w:rPr>
          <w:rFonts w:ascii="Arial" w:hAnsi="Arial" w:cs="Arial"/>
          <w:b/>
          <w:bCs/>
          <w:color w:val="000000"/>
          <w:sz w:val="22"/>
          <w:szCs w:val="22"/>
        </w:rPr>
        <w:t>franchising</w:t>
      </w:r>
      <w:r w:rsidRPr="00153ADE">
        <w:rPr>
          <w:rFonts w:ascii="Arial" w:hAnsi="Arial" w:cs="Arial"/>
          <w:color w:val="000000"/>
          <w:sz w:val="22"/>
          <w:szCs w:val="22"/>
        </w:rPr>
        <w:t>) e de faturização (</w:t>
      </w:r>
      <w:r w:rsidRPr="00153ADE">
        <w:rPr>
          <w:rFonts w:ascii="Arial" w:hAnsi="Arial" w:cs="Arial"/>
          <w:b/>
          <w:bCs/>
          <w:color w:val="000000"/>
          <w:sz w:val="22"/>
          <w:szCs w:val="22"/>
        </w:rPr>
        <w:t>factoring</w:t>
      </w:r>
      <w:r w:rsidRPr="00153ADE">
        <w:rPr>
          <w:rFonts w:ascii="Arial" w:hAnsi="Arial" w:cs="Arial"/>
          <w:color w:val="000000"/>
          <w:sz w:val="22"/>
          <w:szCs w:val="22"/>
        </w:rPr>
        <w:t>).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53ADE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153ADE">
        <w:rPr>
          <w:rFonts w:ascii="Arial" w:hAnsi="Arial" w:cs="Arial"/>
          <w:b/>
          <w:color w:val="000000"/>
          <w:sz w:val="22"/>
          <w:szCs w:val="22"/>
        </w:rPr>
        <w:t>48 –</w:t>
      </w:r>
      <w:r w:rsidRPr="00153ADE">
        <w:rPr>
          <w:rFonts w:ascii="Arial" w:hAnsi="Arial" w:cs="Arial"/>
          <w:color w:val="000000"/>
          <w:sz w:val="22"/>
          <w:szCs w:val="22"/>
        </w:rPr>
        <w:t xml:space="preserve"> Administração de fundos quaisquer, de consórcio, de cartão de crédito ou débito e congêneres, de carteira de clientes, de cheques pré-datados e congêneres.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53ADE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153ADE">
        <w:rPr>
          <w:rFonts w:ascii="Arial" w:hAnsi="Arial" w:cs="Arial"/>
          <w:b/>
          <w:color w:val="000000"/>
          <w:sz w:val="22"/>
          <w:szCs w:val="22"/>
        </w:rPr>
        <w:t>49 –</w:t>
      </w:r>
      <w:r w:rsidRPr="00153ADE">
        <w:rPr>
          <w:rFonts w:ascii="Arial" w:hAnsi="Arial" w:cs="Arial"/>
          <w:color w:val="000000"/>
          <w:sz w:val="22"/>
          <w:szCs w:val="22"/>
        </w:rPr>
        <w:t xml:space="preserve"> Arrendamento mercantil (</w:t>
      </w:r>
      <w:r w:rsidRPr="00153ADE">
        <w:rPr>
          <w:rFonts w:ascii="Arial" w:hAnsi="Arial" w:cs="Arial"/>
          <w:b/>
          <w:bCs/>
          <w:color w:val="000000"/>
          <w:sz w:val="22"/>
          <w:szCs w:val="22"/>
        </w:rPr>
        <w:t>leasing</w:t>
      </w:r>
      <w:r w:rsidRPr="00153ADE">
        <w:rPr>
          <w:rFonts w:ascii="Arial" w:hAnsi="Arial" w:cs="Arial"/>
          <w:color w:val="000000"/>
          <w:sz w:val="22"/>
          <w:szCs w:val="22"/>
        </w:rPr>
        <w:t>) de quaisquer bens, inclusive cessão de direitos e obrigações, substituição de garantia, alteração, cancelamento e registro de contrato, e demais serviços relacionados ao arrendamento mercantil (</w:t>
      </w:r>
      <w:r w:rsidRPr="00153ADE">
        <w:rPr>
          <w:rFonts w:ascii="Arial" w:hAnsi="Arial" w:cs="Arial"/>
          <w:b/>
          <w:bCs/>
          <w:color w:val="000000"/>
          <w:sz w:val="22"/>
          <w:szCs w:val="22"/>
        </w:rPr>
        <w:t>leasing</w:t>
      </w:r>
      <w:r w:rsidRPr="00153ADE">
        <w:rPr>
          <w:rFonts w:ascii="Arial" w:hAnsi="Arial" w:cs="Arial"/>
          <w:color w:val="000000"/>
          <w:sz w:val="22"/>
          <w:szCs w:val="22"/>
        </w:rPr>
        <w:t>).</w:t>
      </w:r>
    </w:p>
    <w:p w:rsidR="00B33D20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E70D57">
        <w:rPr>
          <w:rFonts w:ascii="Arial" w:hAnsi="Arial" w:cs="Arial"/>
          <w:i/>
          <w:sz w:val="22"/>
          <w:szCs w:val="22"/>
        </w:rPr>
        <w:t xml:space="preserve">ALIQUOTA a ser aplicada: 02% </w:t>
      </w:r>
    </w:p>
    <w:p w:rsidR="00B33D20" w:rsidRPr="00153ADE" w:rsidRDefault="00B33D20" w:rsidP="00B33D20">
      <w:pPr>
        <w:spacing w:line="360" w:lineRule="auto"/>
        <w:ind w:left="851" w:right="-568"/>
        <w:jc w:val="both"/>
        <w:rPr>
          <w:rFonts w:ascii="Arial" w:hAnsi="Arial" w:cs="Arial"/>
          <w:sz w:val="22"/>
          <w:szCs w:val="22"/>
        </w:rPr>
      </w:pPr>
    </w:p>
    <w:p w:rsidR="00B33D20" w:rsidRPr="00505756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505756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3</w:t>
      </w:r>
      <w:r w:rsidRPr="00505756">
        <w:rPr>
          <w:rFonts w:ascii="Arial" w:hAnsi="Arial" w:cs="Arial"/>
          <w:b/>
          <w:sz w:val="22"/>
          <w:szCs w:val="22"/>
        </w:rPr>
        <w:t xml:space="preserve">º - </w:t>
      </w:r>
      <w:r w:rsidRPr="00505756">
        <w:rPr>
          <w:rFonts w:ascii="Arial" w:hAnsi="Arial" w:cs="Arial"/>
          <w:sz w:val="22"/>
          <w:szCs w:val="22"/>
        </w:rPr>
        <w:t>Ficam incluídos noart. 21 da Lei Municipal nº 360 de 06 de maio de 1983, os incisos III,IV e V, com as seguintes redações:</w:t>
      </w:r>
    </w:p>
    <w:p w:rsidR="00B33D20" w:rsidRDefault="00B33D20" w:rsidP="00B33D20">
      <w:pPr>
        <w:tabs>
          <w:tab w:val="left" w:pos="851"/>
        </w:tabs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</w:p>
    <w:p w:rsidR="00B33D20" w:rsidRPr="00153ADE" w:rsidRDefault="00B33D20" w:rsidP="00B33D20">
      <w:pPr>
        <w:tabs>
          <w:tab w:val="left" w:pos="851"/>
        </w:tabs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153ADE">
        <w:rPr>
          <w:rFonts w:ascii="Arial" w:hAnsi="Arial" w:cs="Arial"/>
          <w:i/>
          <w:sz w:val="22"/>
          <w:szCs w:val="22"/>
        </w:rPr>
        <w:lastRenderedPageBreak/>
        <w:t>XXIII - do domicílio do tomador dos serviços dos subitens 44, 45 e 46;</w:t>
      </w:r>
    </w:p>
    <w:p w:rsidR="00B33D20" w:rsidRPr="00153ADE" w:rsidRDefault="00B33D20" w:rsidP="00B33D20">
      <w:pPr>
        <w:tabs>
          <w:tab w:val="left" w:pos="851"/>
        </w:tabs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153ADE">
        <w:rPr>
          <w:rFonts w:ascii="Arial" w:hAnsi="Arial" w:cs="Arial"/>
          <w:i/>
          <w:sz w:val="22"/>
          <w:szCs w:val="22"/>
        </w:rPr>
        <w:t>XXIV - do domicílio do tomador do serviço no caso dos serviços prestados pelas administradoras de cartão de crédito ou débito e demais descritos no subitem 48;</w:t>
      </w:r>
      <w:r w:rsidRPr="00153ADE">
        <w:rPr>
          <w:rFonts w:ascii="Arial" w:hAnsi="Arial" w:cs="Arial"/>
          <w:b/>
          <w:bCs/>
          <w:i/>
          <w:sz w:val="22"/>
          <w:szCs w:val="22"/>
        </w:rPr>
        <w:t> </w:t>
      </w:r>
      <w:r w:rsidRPr="00153ADE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:rsidR="00B33D20" w:rsidRPr="00153ADE" w:rsidRDefault="00B33D20" w:rsidP="00B33D20">
      <w:pPr>
        <w:tabs>
          <w:tab w:val="left" w:pos="851"/>
        </w:tabs>
        <w:spacing w:line="360" w:lineRule="auto"/>
        <w:ind w:left="851" w:right="-568"/>
        <w:jc w:val="both"/>
        <w:rPr>
          <w:rFonts w:ascii="Arial" w:hAnsi="Arial" w:cs="Arial"/>
          <w:i/>
          <w:sz w:val="22"/>
          <w:szCs w:val="22"/>
        </w:rPr>
      </w:pPr>
      <w:r w:rsidRPr="00153ADE">
        <w:rPr>
          <w:rFonts w:ascii="Arial" w:hAnsi="Arial" w:cs="Arial"/>
          <w:i/>
          <w:sz w:val="22"/>
          <w:szCs w:val="22"/>
        </w:rPr>
        <w:t>XXV - do domicílio do tomador dos serviços dos subitens 47 e 49.</w:t>
      </w:r>
    </w:p>
    <w:p w:rsidR="00B33D20" w:rsidRPr="00187B89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</w:p>
    <w:p w:rsidR="00B33D20" w:rsidRPr="00187B89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187B89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4</w:t>
      </w:r>
      <w:r w:rsidRPr="00187B89">
        <w:rPr>
          <w:rFonts w:ascii="Arial" w:hAnsi="Arial" w:cs="Arial"/>
          <w:b/>
          <w:sz w:val="22"/>
          <w:szCs w:val="22"/>
        </w:rPr>
        <w:t xml:space="preserve">º - </w:t>
      </w:r>
      <w:r w:rsidRPr="00187B89">
        <w:rPr>
          <w:rFonts w:ascii="Arial" w:hAnsi="Arial" w:cs="Arial"/>
          <w:sz w:val="22"/>
          <w:szCs w:val="22"/>
        </w:rPr>
        <w:t>Revogam-se as disposições em sentido contrário.</w:t>
      </w:r>
    </w:p>
    <w:p w:rsidR="00B33D20" w:rsidRPr="00187B89" w:rsidRDefault="00B33D20" w:rsidP="00B33D20">
      <w:pPr>
        <w:spacing w:line="360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187B89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5</w:t>
      </w:r>
      <w:r w:rsidRPr="00187B89">
        <w:rPr>
          <w:rFonts w:ascii="Arial" w:hAnsi="Arial" w:cs="Arial"/>
          <w:b/>
          <w:sz w:val="22"/>
          <w:szCs w:val="22"/>
        </w:rPr>
        <w:t xml:space="preserve">º - </w:t>
      </w:r>
      <w:r w:rsidRPr="00187B89">
        <w:rPr>
          <w:rFonts w:ascii="Arial" w:hAnsi="Arial" w:cs="Arial"/>
          <w:sz w:val="22"/>
          <w:szCs w:val="22"/>
        </w:rPr>
        <w:t>Esta Lei Complementar entra em vigor na data de sua publicação.</w:t>
      </w:r>
    </w:p>
    <w:p w:rsidR="00B33D20" w:rsidRDefault="00B33D20" w:rsidP="00B33D20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</w:p>
    <w:p w:rsidR="00B33D20" w:rsidRPr="00505756" w:rsidRDefault="00B33D20" w:rsidP="00B33D20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  <w:r w:rsidRPr="00505756">
        <w:rPr>
          <w:rFonts w:ascii="Arial" w:hAnsi="Arial" w:cs="Arial"/>
          <w:sz w:val="22"/>
          <w:szCs w:val="22"/>
        </w:rPr>
        <w:t xml:space="preserve">Santana do Deserto, 08 de dezembro de 2017. </w:t>
      </w:r>
    </w:p>
    <w:p w:rsidR="00B33D20" w:rsidRDefault="00B33D20" w:rsidP="00B33D20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</w:p>
    <w:p w:rsidR="00B33D20" w:rsidRDefault="00B33D20" w:rsidP="00B33D20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</w:p>
    <w:p w:rsidR="00B33D20" w:rsidRPr="00DB4134" w:rsidRDefault="00B33D20" w:rsidP="00B33D20">
      <w:pPr>
        <w:spacing w:line="360" w:lineRule="auto"/>
        <w:ind w:right="-852"/>
        <w:jc w:val="center"/>
        <w:rPr>
          <w:rFonts w:ascii="Arial" w:hAnsi="Arial" w:cs="Arial"/>
          <w:sz w:val="22"/>
          <w:szCs w:val="22"/>
        </w:rPr>
      </w:pPr>
    </w:p>
    <w:p w:rsidR="00B33D20" w:rsidRPr="00DB4134" w:rsidRDefault="00B33D20" w:rsidP="00B33D20">
      <w:pPr>
        <w:pStyle w:val="SemEspaamento"/>
        <w:spacing w:line="360" w:lineRule="auto"/>
        <w:ind w:right="-8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WALACE SEBASTIÃO VASCONCELOS LEITE</w:t>
      </w:r>
    </w:p>
    <w:p w:rsidR="00B33D20" w:rsidRPr="00DB4134" w:rsidRDefault="00B33D20" w:rsidP="00B33D20">
      <w:pPr>
        <w:pStyle w:val="Corpodetexto"/>
        <w:spacing w:after="0"/>
        <w:ind w:right="-852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B4134">
        <w:rPr>
          <w:rFonts w:ascii="Arial" w:hAnsi="Arial" w:cs="Arial"/>
          <w:b/>
          <w:sz w:val="22"/>
          <w:szCs w:val="22"/>
        </w:rPr>
        <w:t>Prefeito Municipal</w:t>
      </w:r>
    </w:p>
    <w:p w:rsidR="00B33D20" w:rsidRPr="00DB4134" w:rsidRDefault="00B33D20" w:rsidP="00B33D20">
      <w:pPr>
        <w:pStyle w:val="Corpodetexto"/>
        <w:spacing w:after="0"/>
        <w:ind w:right="-852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16A86" w:rsidRDefault="00C16A86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:rsidR="00B33D20" w:rsidRDefault="00B33D20" w:rsidP="00B33D20">
      <w:pPr>
        <w:pStyle w:val="Corpodetexto"/>
        <w:spacing w:after="0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sectPr w:rsidR="00B33D20" w:rsidSect="00B81760">
      <w:pgSz w:w="11906" w:h="16838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37A" w:rsidRDefault="001A437A" w:rsidP="00B81760">
      <w:r>
        <w:separator/>
      </w:r>
    </w:p>
  </w:endnote>
  <w:endnote w:type="continuationSeparator" w:id="1">
    <w:p w:rsidR="001A437A" w:rsidRDefault="001A437A" w:rsidP="00B81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37A" w:rsidRDefault="001A437A" w:rsidP="00B81760">
      <w:r>
        <w:separator/>
      </w:r>
    </w:p>
  </w:footnote>
  <w:footnote w:type="continuationSeparator" w:id="1">
    <w:p w:rsidR="001A437A" w:rsidRDefault="001A437A" w:rsidP="00B81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2FB"/>
    <w:rsid w:val="001A437A"/>
    <w:rsid w:val="002D6B89"/>
    <w:rsid w:val="004252FB"/>
    <w:rsid w:val="005C3BC3"/>
    <w:rsid w:val="006C7D43"/>
    <w:rsid w:val="007E0699"/>
    <w:rsid w:val="00B33D20"/>
    <w:rsid w:val="00B81760"/>
    <w:rsid w:val="00C1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17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1760"/>
    <w:pPr>
      <w:keepNext/>
      <w:suppressAutoHyphens w:val="0"/>
      <w:autoSpaceDN/>
      <w:ind w:right="-943"/>
      <w:textAlignment w:val="auto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81760"/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t1">
    <w:name w:val="t1"/>
    <w:basedOn w:val="Normal"/>
    <w:rsid w:val="00B81760"/>
    <w:pPr>
      <w:widowControl w:val="0"/>
      <w:spacing w:line="240" w:lineRule="atLeast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B817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7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8176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81760"/>
    <w:pPr>
      <w:widowControl w:val="0"/>
      <w:autoSpaceDN/>
      <w:spacing w:after="120"/>
      <w:textAlignment w:val="auto"/>
    </w:pPr>
    <w:rPr>
      <w:rFonts w:eastAsia="Arial Unicode MS"/>
      <w:kern w:val="1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81760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B81760"/>
  </w:style>
  <w:style w:type="paragraph" w:styleId="PargrafodaLista">
    <w:name w:val="List Paragraph"/>
    <w:basedOn w:val="Normal"/>
    <w:uiPriority w:val="34"/>
    <w:qFormat/>
    <w:rsid w:val="00B8176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817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7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A8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17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1760"/>
    <w:pPr>
      <w:keepNext/>
      <w:suppressAutoHyphens w:val="0"/>
      <w:autoSpaceDN/>
      <w:ind w:right="-943"/>
      <w:textAlignment w:val="auto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81760"/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t1">
    <w:name w:val="t1"/>
    <w:basedOn w:val="Normal"/>
    <w:rsid w:val="00B81760"/>
    <w:pPr>
      <w:widowControl w:val="0"/>
      <w:spacing w:line="240" w:lineRule="atLeast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B817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7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8176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81760"/>
    <w:pPr>
      <w:widowControl w:val="0"/>
      <w:autoSpaceDN/>
      <w:spacing w:after="120"/>
      <w:textAlignment w:val="auto"/>
    </w:pPr>
    <w:rPr>
      <w:rFonts w:eastAsia="Arial Unicode MS"/>
      <w:kern w:val="1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81760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B81760"/>
  </w:style>
  <w:style w:type="paragraph" w:styleId="PargrafodaLista">
    <w:name w:val="List Paragraph"/>
    <w:basedOn w:val="Normal"/>
    <w:uiPriority w:val="34"/>
    <w:qFormat/>
    <w:rsid w:val="00B8176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817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7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A8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5</cp:revision>
  <cp:lastPrinted>2017-12-08T11:05:00Z</cp:lastPrinted>
  <dcterms:created xsi:type="dcterms:W3CDTF">2017-12-08T10:43:00Z</dcterms:created>
  <dcterms:modified xsi:type="dcterms:W3CDTF">2018-12-19T11:06:00Z</dcterms:modified>
</cp:coreProperties>
</file>